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205d1_8k.htm"/>
      <w:bookmarkStart w:id="1" w:name="kstm262120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0723__20"/>
      <w:bookmarkEnd w:id="2"/>
      <w:r>
        <w:rPr>
          <w:rFonts w:ascii="Times New Roman;Times;Serif" w:hAnsi="Times New Roman;Times;Serif"/>
          <w:b/>
          <w:i w:val="false"/>
          <w:caps w:val="false"/>
          <w:smallCaps w:val="false"/>
          <w:sz w:val="20"/>
        </w:rPr>
        <w:t>8-K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3_edei--DocumentPeriodEndDate_c202"/>
      <w:bookmarkEnd w:id="3"/>
      <w:r>
        <w:rPr>
          <w:rFonts w:ascii="Times New Roman;Times;Serif" w:hAnsi="Times New Roman;Times;Serif"/>
          <w:b/>
          <w:i w:val="false"/>
          <w:caps w:val="false"/>
          <w:smallCaps w:val="false"/>
          <w:sz w:val="20"/>
        </w:rPr>
        <w:t>July 23,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6_edei--EntityRegistrantName_c2026"/>
      <w:bookmarkEnd w:id="4"/>
      <w:r>
        <w:rPr>
          <w:rFonts w:ascii="Times New Roman;Times;Serif" w:hAnsi="Times New Roman;Times;Serif"/>
          <w:b/>
          <w:i w:val="false"/>
          <w:caps w:val="false"/>
          <w:smallCaps w:val="false"/>
          <w:sz w:val="28"/>
        </w:rPr>
        <w:t>Aprea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301" w:type="dxa"/>
        <w:jc w:val="left"/>
        <w:tblInd w:w="0" w:type="dxa"/>
        <w:tblLayout w:type="fixed"/>
        <w:tblCellMar>
          <w:top w:w="0" w:type="dxa"/>
          <w:left w:w="0" w:type="dxa"/>
          <w:bottom w:w="0" w:type="dxa"/>
          <w:right w:w="0" w:type="dxa"/>
        </w:tblCellMar>
      </w:tblPr>
      <w:tblGrid>
        <w:gridCol w:w="2565"/>
        <w:gridCol w:w="649"/>
        <w:gridCol w:w="552"/>
        <w:gridCol w:w="1535"/>
      </w:tblGrid>
      <w:tr>
        <w:trPr/>
        <w:tc>
          <w:tcPr>
            <w:tcW w:w="2565" w:type="dxa"/>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1201" w:type="dxa"/>
            <w:gridSpan w:val="2"/>
            <w:tcBorders/>
            <w:vAlign w:val="center"/>
          </w:tcPr>
          <w:p>
            <w:pPr>
              <w:pStyle w:val="TableContents"/>
              <w:bidi w:val="0"/>
              <w:spacing w:before="0" w:after="283"/>
              <w:jc w:val="center"/>
              <w:rPr>
                <w:b/>
                <w:sz w:val="20"/>
              </w:rPr>
            </w:pPr>
            <w:bookmarkStart w:id="6" w:name="xdx_90A_edei--EntityFileNumber_c20260723"/>
            <w:bookmarkEnd w:id="6"/>
            <w:r>
              <w:rPr>
                <w:b/>
                <w:sz w:val="20"/>
              </w:rPr>
              <w:t>001-39069</w:t>
            </w:r>
          </w:p>
        </w:tc>
        <w:tc>
          <w:tcPr>
            <w:tcW w:w="1535" w:type="dxa"/>
            <w:tcBorders/>
            <w:vAlign w:val="center"/>
          </w:tcPr>
          <w:p>
            <w:pPr>
              <w:pStyle w:val="TableContents"/>
              <w:bidi w:val="0"/>
              <w:spacing w:before="0" w:after="283"/>
              <w:jc w:val="center"/>
              <w:rPr>
                <w:b/>
                <w:sz w:val="20"/>
              </w:rPr>
            </w:pPr>
            <w:bookmarkStart w:id="7" w:name="xdx_908_edei--EntityTaxIdentificationNum"/>
            <w:bookmarkEnd w:id="7"/>
            <w:r>
              <w:rPr>
                <w:b/>
                <w:sz w:val="20"/>
              </w:rPr>
              <w:t>84-2246769</w:t>
            </w:r>
          </w:p>
        </w:tc>
      </w:tr>
      <w:tr>
        <w:trPr/>
        <w:tc>
          <w:tcPr>
            <w:tcW w:w="2565" w:type="dxa"/>
            <w:tcBorders/>
            <w:vAlign w:val="center"/>
          </w:tcPr>
          <w:p>
            <w:pPr>
              <w:pStyle w:val="TableContents"/>
              <w:bidi w:val="0"/>
              <w:spacing w:before="0" w:after="283"/>
              <w:jc w:val="center"/>
              <w:rPr>
                <w:sz w:val="20"/>
              </w:rPr>
            </w:pPr>
            <w:r>
              <w:rPr>
                <w:sz w:val="20"/>
              </w:rPr>
              <w:t>(State or other jurisdiction</w:t>
              <w:br/>
              <w:t>of incorporation)</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2565" w:type="dxa"/>
            <w:tcBorders/>
            <w:vAlign w:val="center"/>
          </w:tcPr>
          <w:p>
            <w:pPr>
              <w:pStyle w:val="TableContents"/>
              <w:bidi w:val="0"/>
              <w:spacing w:before="0" w:after="283"/>
              <w:jc w:val="center"/>
              <w:rPr/>
            </w:pPr>
            <w:r>
              <w:rPr/>
              <w:t> </w:t>
            </w:r>
          </w:p>
        </w:tc>
        <w:tc>
          <w:tcPr>
            <w:tcW w:w="1201" w:type="dxa"/>
            <w:gridSpan w:val="2"/>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321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3805 Old Easton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Doylestown, </w:t>
            </w:r>
            <w:bookmarkStart w:id="10" w:name="xdx_900_edei--EntityAddressStateOrProvin"/>
            <w:bookmarkEnd w:id="10"/>
            <w:r>
              <w:rPr>
                <w:rFonts w:ascii="Times New Roman;Times;Serif" w:hAnsi="Times New Roman;Times;Serif"/>
                <w:b/>
                <w:i w:val="false"/>
                <w:caps w:val="false"/>
                <w:smallCaps w:val="false"/>
                <w:sz w:val="20"/>
              </w:rPr>
              <w:t>PA</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2087"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B_edei--EntityAddressPostalZipCode"/>
            <w:bookmarkEnd w:id="11"/>
            <w:r>
              <w:rPr>
                <w:rFonts w:ascii="Times New Roman;Times;Serif" w:hAnsi="Times New Roman;Times;Serif"/>
                <w:b/>
                <w:i w:val="false"/>
                <w:caps w:val="false"/>
                <w:smallCaps w:val="false"/>
                <w:sz w:val="20"/>
              </w:rPr>
              <w:t>18902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r>
        <w:trPr/>
        <w:tc>
          <w:tcPr>
            <w:tcW w:w="2565"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bl>
    <w:tbl>
      <w:tblPr>
        <w:tblW w:w="6260" w:type="dxa"/>
        <w:jc w:val="left"/>
        <w:tblInd w:w="0" w:type="dxa"/>
        <w:tblLayout w:type="fixed"/>
        <w:tblCellMar>
          <w:top w:w="0" w:type="dxa"/>
          <w:left w:w="0" w:type="dxa"/>
          <w:bottom w:w="0" w:type="dxa"/>
          <w:right w:w="0" w:type="dxa"/>
        </w:tblCellMar>
      </w:tblPr>
      <w:tblGrid>
        <w:gridCol w:w="6260"/>
      </w:tblGrid>
      <w:tr>
        <w:trPr/>
        <w:tc>
          <w:tcPr>
            <w:tcW w:w="626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5_edei--CityAreaCode_c20260723__20"/>
            <w:bookmarkEnd w:id="12"/>
            <w:r>
              <w:rPr>
                <w:rFonts w:ascii="Times New Roman;Times;Serif" w:hAnsi="Times New Roman;Times;Serif"/>
                <w:b/>
                <w:i w:val="false"/>
                <w:caps w:val="false"/>
                <w:smallCaps w:val="false"/>
                <w:sz w:val="20"/>
              </w:rPr>
              <w:t xml:space="preserve">215) </w:t>
            </w:r>
            <w:bookmarkStart w:id="13" w:name="xdx_906_edei--LocalPhoneNumber_c20260723"/>
            <w:bookmarkEnd w:id="13"/>
            <w:r>
              <w:rPr>
                <w:rFonts w:ascii="Times New Roman;Times;Serif" w:hAnsi="Times New Roman;Times;Serif"/>
                <w:b/>
                <w:i w:val="false"/>
                <w:caps w:val="false"/>
                <w:smallCaps w:val="false"/>
                <w:sz w:val="20"/>
              </w:rPr>
              <w:t>948-4119</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Not applicable </w:t>
            </w:r>
          </w:p>
        </w:tc>
      </w:tr>
    </w:tbl>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F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3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B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15" w:type="dxa"/>
        <w:jc w:val="left"/>
        <w:tblInd w:w="0" w:type="dxa"/>
        <w:tblLayout w:type="fixed"/>
        <w:tblCellMar>
          <w:top w:w="0" w:type="dxa"/>
          <w:left w:w="0" w:type="dxa"/>
          <w:bottom w:w="28" w:type="dxa"/>
          <w:right w:w="0" w:type="dxa"/>
        </w:tblCellMar>
      </w:tblPr>
      <w:tblGrid>
        <w:gridCol w:w="3485"/>
        <w:gridCol w:w="60"/>
        <w:gridCol w:w="1655"/>
        <w:gridCol w:w="60"/>
        <w:gridCol w:w="2555"/>
      </w:tblGrid>
      <w:tr>
        <w:trPr/>
        <w:tc>
          <w:tcPr>
            <w:tcW w:w="3485" w:type="dxa"/>
            <w:tcBorders>
              <w:bottom w:val="single" w:sz="8" w:space="0" w:color="000000"/>
            </w:tcBorders>
            <w:vAlign w:val="center"/>
          </w:tcPr>
          <w:p>
            <w:pPr>
              <w:pStyle w:val="TableContents"/>
              <w:bidi w:val="0"/>
              <w:spacing w:before="0" w:after="283"/>
              <w:jc w:val="center"/>
              <w:rPr>
                <w:b/>
                <w:sz w:val="20"/>
              </w:rPr>
            </w:pPr>
            <w:r>
              <w:rPr>
                <w:b/>
                <w:sz w:val="20"/>
              </w:rPr>
              <w:t xml:space="preserve">Title of each class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bottom w:val="single" w:sz="8" w:space="0" w:color="000000"/>
            </w:tcBorders>
            <w:vAlign w:val="center"/>
          </w:tcPr>
          <w:p>
            <w:pPr>
              <w:pStyle w:val="TableContents"/>
              <w:bidi w:val="0"/>
              <w:spacing w:before="0" w:after="283"/>
              <w:jc w:val="center"/>
              <w:rPr>
                <w:b/>
                <w:sz w:val="20"/>
              </w:rPr>
            </w:pPr>
            <w:r>
              <w:rPr>
                <w:b/>
                <w:sz w:val="20"/>
              </w:rPr>
              <w:t>Trading Symbol(s) </w:t>
            </w:r>
          </w:p>
        </w:tc>
        <w:tc>
          <w:tcPr>
            <w:tcW w:w="60" w:type="dxa"/>
            <w:tcBorders/>
            <w:tcMar>
              <w:bottom w:w="0" w:type="dxa"/>
            </w:tcMar>
            <w:vAlign w:val="center"/>
          </w:tcPr>
          <w:p>
            <w:pPr>
              <w:pStyle w:val="TableContents"/>
              <w:bidi w:val="0"/>
              <w:spacing w:before="0" w:after="283"/>
              <w:jc w:val="center"/>
              <w:rPr/>
            </w:pPr>
            <w:r>
              <w:rPr/>
              <w:t> </w:t>
            </w:r>
          </w:p>
        </w:tc>
        <w:tc>
          <w:tcPr>
            <w:tcW w:w="25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each exchange 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which registered </w:t>
            </w:r>
          </w:p>
        </w:tc>
      </w:tr>
      <w:tr>
        <w:trPr/>
        <w:tc>
          <w:tcPr>
            <w:tcW w:w="3485" w:type="dxa"/>
            <w:tcBorders/>
            <w:tcMar>
              <w:bottom w:w="0" w:type="dxa"/>
            </w:tcMar>
            <w:vAlign w:val="center"/>
          </w:tcPr>
          <w:p>
            <w:pPr>
              <w:pStyle w:val="TableContents"/>
              <w:bidi w:val="0"/>
              <w:spacing w:before="0" w:after="283"/>
              <w:jc w:val="center"/>
              <w:rPr>
                <w:sz w:val="20"/>
              </w:rPr>
            </w:pPr>
            <w:bookmarkStart w:id="18" w:name="xdx_907_edei--Security12bTitle_c20260723"/>
            <w:bookmarkEnd w:id="18"/>
            <w:r>
              <w:rPr>
                <w:sz w:val="20"/>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1655" w:type="dxa"/>
            <w:tcBorders/>
            <w:tcMar>
              <w:bottom w:w="0" w:type="dxa"/>
            </w:tcMar>
            <w:vAlign w:val="center"/>
          </w:tcPr>
          <w:p>
            <w:pPr>
              <w:pStyle w:val="TableContents"/>
              <w:bidi w:val="0"/>
              <w:spacing w:before="0" w:after="283"/>
              <w:jc w:val="center"/>
              <w:rPr>
                <w:sz w:val="20"/>
              </w:rPr>
            </w:pPr>
            <w:bookmarkStart w:id="19" w:name="xdx_900_edei--TradingSymbol_c20260723__2"/>
            <w:bookmarkEnd w:id="19"/>
            <w:r>
              <w:rPr>
                <w:sz w:val="20"/>
              </w:rPr>
              <w:t>APRE</w:t>
            </w:r>
          </w:p>
        </w:tc>
        <w:tc>
          <w:tcPr>
            <w:tcW w:w="60" w:type="dxa"/>
            <w:tcBorders/>
            <w:tcMar>
              <w:bottom w:w="0" w:type="dxa"/>
            </w:tcMar>
            <w:vAlign w:val="center"/>
          </w:tcPr>
          <w:p>
            <w:pPr>
              <w:pStyle w:val="TableContents"/>
              <w:bidi w:val="0"/>
              <w:spacing w:before="0" w:after="283"/>
              <w:jc w:val="center"/>
              <w:rPr/>
            </w:pPr>
            <w:r>
              <w:rPr/>
              <w:t> </w:t>
            </w:r>
          </w:p>
        </w:tc>
        <w:tc>
          <w:tcPr>
            <w:tcW w:w="2555" w:type="dxa"/>
            <w:tcBorders/>
            <w:tcMar>
              <w:bottom w:w="0" w:type="dxa"/>
            </w:tcMar>
            <w:vAlign w:val="center"/>
          </w:tcPr>
          <w:p>
            <w:pPr>
              <w:pStyle w:val="TableContents"/>
              <w:bidi w:val="0"/>
              <w:spacing w:before="0" w:after="283"/>
              <w:jc w:val="center"/>
              <w:rPr>
                <w:sz w:val="20"/>
              </w:rPr>
            </w:pPr>
            <w:bookmarkStart w:id="20" w:name="xdx_90F_edei--SecurityExchangeName_c2026"/>
            <w:bookmarkEnd w:id="20"/>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50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23, 2026, Aprea Therapeutics, Inc. (the “Company”) received a notification letter from The Nasdaq Stock Market LLC (“Nasdaq”) informing the Company that, while the Company has not yet regained compliance with the $1.00 minimum bid price required for continued listing on The Nasdaq Capital Market under Nasdaq Listing Rule 5550(a)(2) (the “Minimum Bid Price Requirement”), Nasdaq has determined that the Company is eligible for an additional 180 calendar day period, or until January 19, 2027 (the “Second Compliance Period”), to regain compliance with the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January 23, 2026, the Company received a deficiency notice from Nasdaq informing the Company that its common stock (the “Common Stock”) had failed to comply with the Minimum Bid Price Requirement and, pursuant to Nasdaq Listing Rule 5810(c)(3)(A), the Company was initially provided 180 calendar days, or until July 22, 2026, to regain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during the Second Compliance Period, the closing bid price of the Common Stock is at least $1.00 per share for a minimum of 10 consecutive business days, Nasdaq will provide the Company with written confirmation of compliance. If compliance with the Minimum Bid Price Requirement cannot be demonstrated by January 19, 2027, Nasdaq will provide written notification that the Common Stock will be delisted from Nasdaq. At that time, the Company may appeal Nasdaq’s determination to a hearings panel.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1730"/>
        <w:gridCol w:w="545"/>
        <w:gridCol w:w="3095"/>
      </w:tblGrid>
      <w:tr>
        <w:trPr/>
        <w:tc>
          <w:tcPr>
            <w:tcW w:w="1730"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Aprea Therapeutics, Inc.</w:t>
            </w:r>
          </w:p>
        </w:tc>
      </w:tr>
      <w:tr>
        <w:trPr/>
        <w:tc>
          <w:tcPr>
            <w:tcW w:w="1730"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23,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Oren Gilad</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Oren Gilad, Ph.D.</w:t>
            </w:r>
          </w:p>
        </w:tc>
      </w:tr>
      <w:tr>
        <w:trPr/>
        <w:tc>
          <w:tcPr>
            <w:tcW w:w="17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604</Words>
  <Characters>3296</Characters>
  <CharactersWithSpaces>3905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